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DF1" w:rsidRDefault="00255DF1" w:rsidP="003B4EEB">
      <w:pPr>
        <w:jc w:val="center"/>
        <w:rPr>
          <w:b/>
          <w:sz w:val="32"/>
        </w:rPr>
      </w:pPr>
    </w:p>
    <w:p w:rsidR="00255DF1" w:rsidRDefault="00255DF1" w:rsidP="003B4EEB">
      <w:pPr>
        <w:jc w:val="center"/>
        <w:rPr>
          <w:b/>
          <w:sz w:val="32"/>
        </w:rPr>
      </w:pPr>
    </w:p>
    <w:p w:rsidR="007849C8" w:rsidRPr="003B4EEB" w:rsidRDefault="007849C8" w:rsidP="003B4EEB">
      <w:pPr>
        <w:jc w:val="center"/>
        <w:rPr>
          <w:b/>
          <w:sz w:val="32"/>
        </w:rPr>
      </w:pPr>
      <w:r w:rsidRPr="003B4EEB">
        <w:rPr>
          <w:b/>
          <w:sz w:val="32"/>
        </w:rPr>
        <w:t>ANALYSIS OF SERVICE TAX RATE INCREASE FROM 12.36%TO 14% (SUBSUMING EC AND SHEC) EFFECTIVE FROM 01.06.2015</w:t>
      </w:r>
    </w:p>
    <w:p w:rsidR="007849C8" w:rsidRDefault="007849C8" w:rsidP="007849C8">
      <w:r>
        <w:t xml:space="preserve">The </w:t>
      </w:r>
      <w:proofErr w:type="spellStart"/>
      <w:r>
        <w:t>Hon’ble</w:t>
      </w:r>
      <w:proofErr w:type="spellEnd"/>
      <w:r>
        <w:t xml:space="preserve"> President has given assent to the Finance Bill, 2015 on May 14, 2015. Post that the Ministry of Finance, Department of Revenue </w:t>
      </w:r>
      <w:r>
        <w:t xml:space="preserve">vide Notification No. 14/2015ST </w:t>
      </w:r>
      <w:r>
        <w:t xml:space="preserve">dated May 19, 2015 has notified an increase in the rate of Service tax from 12.36% to flat 14% (Subsuming Education </w:t>
      </w:r>
      <w:proofErr w:type="spellStart"/>
      <w:r>
        <w:t>Cess</w:t>
      </w:r>
      <w:proofErr w:type="spellEnd"/>
      <w:r>
        <w:t xml:space="preserve"> and Secondary &amp; High</w:t>
      </w:r>
      <w:r>
        <w:t xml:space="preserve">er Secondary Education </w:t>
      </w:r>
      <w:proofErr w:type="spellStart"/>
      <w:r>
        <w:t>Cess</w:t>
      </w:r>
      <w:proofErr w:type="spellEnd"/>
      <w:r>
        <w:t xml:space="preserve">) to </w:t>
      </w:r>
      <w:r>
        <w:t>be effective from June 1, 2015.</w:t>
      </w:r>
    </w:p>
    <w:p w:rsidR="007849C8" w:rsidRDefault="007849C8" w:rsidP="007849C8">
      <w:r>
        <w:t>Service Tax Rate Earlier 12.36% New 14.00% (all inclusive)</w:t>
      </w:r>
    </w:p>
    <w:p w:rsidR="00356F1E" w:rsidRDefault="007849C8" w:rsidP="007849C8">
      <w:r>
        <w:t>In respect of certain services like money changing service, service provided by air travel agent, insurance service and service provided by lotter</w:t>
      </w:r>
      <w:r>
        <w:t xml:space="preserve">y distributor and selling agent </w:t>
      </w:r>
      <w:r>
        <w:t>the service provider has been allowed to pay service tax at an alternative rate subject to the conditions as prescribed under rule 6 (7), 6(7A), 6(7</w:t>
      </w:r>
      <w:r>
        <w:t xml:space="preserve">B) and 6(7C) of the Service Tax </w:t>
      </w:r>
      <w:r>
        <w:t>Rules, 1994. Consequent to the upward revision in Service Tax rate, the said alternative rates shall also be revised proportionately. The new ra</w:t>
      </w:r>
      <w:r>
        <w:t xml:space="preserve">tes are summarized in the table </w:t>
      </w:r>
      <w: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849C8" w:rsidTr="006A77AA">
        <w:tc>
          <w:tcPr>
            <w:tcW w:w="3116" w:type="dxa"/>
            <w:shd w:val="clear" w:color="auto" w:fill="9CC2E5" w:themeFill="accent1" w:themeFillTint="99"/>
          </w:tcPr>
          <w:p w:rsidR="007849C8" w:rsidRPr="007849C8" w:rsidRDefault="007849C8" w:rsidP="007849C8">
            <w:pPr>
              <w:jc w:val="center"/>
              <w:rPr>
                <w:b/>
              </w:rPr>
            </w:pPr>
            <w:r w:rsidRPr="007849C8">
              <w:rPr>
                <w:b/>
              </w:rPr>
              <w:t>SERVICE</w:t>
            </w:r>
          </w:p>
        </w:tc>
        <w:tc>
          <w:tcPr>
            <w:tcW w:w="3117" w:type="dxa"/>
            <w:shd w:val="clear" w:color="auto" w:fill="9CC2E5" w:themeFill="accent1" w:themeFillTint="99"/>
          </w:tcPr>
          <w:p w:rsidR="007849C8" w:rsidRPr="007849C8" w:rsidRDefault="007849C8" w:rsidP="007849C8">
            <w:pPr>
              <w:jc w:val="center"/>
              <w:rPr>
                <w:b/>
              </w:rPr>
            </w:pPr>
            <w:r w:rsidRPr="007849C8">
              <w:rPr>
                <w:b/>
              </w:rPr>
              <w:t>OLD RATE</w:t>
            </w:r>
          </w:p>
        </w:tc>
        <w:tc>
          <w:tcPr>
            <w:tcW w:w="3117" w:type="dxa"/>
            <w:shd w:val="clear" w:color="auto" w:fill="9CC2E5" w:themeFill="accent1" w:themeFillTint="99"/>
          </w:tcPr>
          <w:p w:rsidR="007849C8" w:rsidRPr="007849C8" w:rsidRDefault="007849C8" w:rsidP="007849C8">
            <w:pPr>
              <w:jc w:val="center"/>
              <w:rPr>
                <w:b/>
              </w:rPr>
            </w:pPr>
            <w:r w:rsidRPr="007849C8">
              <w:rPr>
                <w:b/>
              </w:rPr>
              <w:t>NEW RATE</w:t>
            </w:r>
          </w:p>
        </w:tc>
      </w:tr>
      <w:tr w:rsidR="007849C8" w:rsidTr="00BF3AAF">
        <w:tc>
          <w:tcPr>
            <w:tcW w:w="9350" w:type="dxa"/>
            <w:gridSpan w:val="3"/>
          </w:tcPr>
          <w:p w:rsidR="007849C8" w:rsidRPr="007849C8" w:rsidRDefault="007849C8" w:rsidP="007849C8">
            <w:pPr>
              <w:rPr>
                <w:b/>
              </w:rPr>
            </w:pPr>
            <w:r w:rsidRPr="007849C8">
              <w:rPr>
                <w:b/>
              </w:rPr>
              <w:t>Air Travel Agent</w:t>
            </w:r>
          </w:p>
        </w:tc>
      </w:tr>
      <w:tr w:rsidR="007849C8" w:rsidTr="007849C8">
        <w:tc>
          <w:tcPr>
            <w:tcW w:w="3116" w:type="dxa"/>
          </w:tcPr>
          <w:p w:rsidR="007849C8" w:rsidRDefault="007849C8" w:rsidP="007849C8">
            <w:r>
              <w:t>Domestic Booking</w:t>
            </w:r>
          </w:p>
        </w:tc>
        <w:tc>
          <w:tcPr>
            <w:tcW w:w="3117" w:type="dxa"/>
          </w:tcPr>
          <w:p w:rsidR="007849C8" w:rsidRDefault="007849C8" w:rsidP="007849C8">
            <w:pPr>
              <w:jc w:val="center"/>
            </w:pPr>
            <w:r>
              <w:t>0.6%</w:t>
            </w:r>
          </w:p>
        </w:tc>
        <w:tc>
          <w:tcPr>
            <w:tcW w:w="3117" w:type="dxa"/>
          </w:tcPr>
          <w:p w:rsidR="007849C8" w:rsidRDefault="007849C8" w:rsidP="007849C8">
            <w:pPr>
              <w:jc w:val="center"/>
            </w:pPr>
            <w:r>
              <w:t>0.7%</w:t>
            </w:r>
          </w:p>
        </w:tc>
      </w:tr>
      <w:tr w:rsidR="007849C8" w:rsidTr="007849C8">
        <w:tc>
          <w:tcPr>
            <w:tcW w:w="3116" w:type="dxa"/>
          </w:tcPr>
          <w:p w:rsidR="007849C8" w:rsidRDefault="007849C8" w:rsidP="007849C8">
            <w:r>
              <w:t>International Booking</w:t>
            </w:r>
          </w:p>
        </w:tc>
        <w:tc>
          <w:tcPr>
            <w:tcW w:w="3117" w:type="dxa"/>
          </w:tcPr>
          <w:p w:rsidR="007849C8" w:rsidRDefault="007849C8" w:rsidP="007849C8">
            <w:pPr>
              <w:jc w:val="center"/>
            </w:pPr>
            <w:r>
              <w:t>1.2%</w:t>
            </w:r>
          </w:p>
        </w:tc>
        <w:tc>
          <w:tcPr>
            <w:tcW w:w="3117" w:type="dxa"/>
          </w:tcPr>
          <w:p w:rsidR="007849C8" w:rsidRDefault="007849C8" w:rsidP="007849C8">
            <w:pPr>
              <w:jc w:val="center"/>
            </w:pPr>
            <w:r>
              <w:t>1.4%</w:t>
            </w:r>
          </w:p>
        </w:tc>
      </w:tr>
      <w:tr w:rsidR="006A77AA" w:rsidTr="00E57936">
        <w:tc>
          <w:tcPr>
            <w:tcW w:w="9350" w:type="dxa"/>
            <w:gridSpan w:val="3"/>
          </w:tcPr>
          <w:p w:rsidR="006A77AA" w:rsidRDefault="006A77AA" w:rsidP="006A77AA">
            <w:r w:rsidRPr="007849C8">
              <w:rPr>
                <w:b/>
              </w:rPr>
              <w:t>Life Insurance</w:t>
            </w:r>
          </w:p>
        </w:tc>
      </w:tr>
      <w:tr w:rsidR="007849C8" w:rsidTr="007849C8">
        <w:tc>
          <w:tcPr>
            <w:tcW w:w="3116" w:type="dxa"/>
          </w:tcPr>
          <w:p w:rsidR="007849C8" w:rsidRDefault="007849C8" w:rsidP="007849C8">
            <w:r>
              <w:t>First Year Premium</w:t>
            </w:r>
          </w:p>
        </w:tc>
        <w:tc>
          <w:tcPr>
            <w:tcW w:w="3117" w:type="dxa"/>
          </w:tcPr>
          <w:p w:rsidR="007849C8" w:rsidRDefault="007849C8" w:rsidP="007849C8">
            <w:pPr>
              <w:jc w:val="center"/>
            </w:pPr>
            <w:r>
              <w:t>3%</w:t>
            </w:r>
          </w:p>
        </w:tc>
        <w:tc>
          <w:tcPr>
            <w:tcW w:w="3117" w:type="dxa"/>
          </w:tcPr>
          <w:p w:rsidR="007849C8" w:rsidRDefault="007849C8" w:rsidP="007849C8">
            <w:pPr>
              <w:jc w:val="center"/>
            </w:pPr>
            <w:r>
              <w:t>3.5%</w:t>
            </w:r>
          </w:p>
        </w:tc>
      </w:tr>
      <w:tr w:rsidR="007849C8" w:rsidTr="007849C8">
        <w:tc>
          <w:tcPr>
            <w:tcW w:w="3116" w:type="dxa"/>
          </w:tcPr>
          <w:p w:rsidR="007849C8" w:rsidRDefault="007849C8" w:rsidP="007849C8">
            <w:r>
              <w:t>Subsequent Year Premium</w:t>
            </w:r>
          </w:p>
        </w:tc>
        <w:tc>
          <w:tcPr>
            <w:tcW w:w="3117" w:type="dxa"/>
          </w:tcPr>
          <w:p w:rsidR="007849C8" w:rsidRDefault="007849C8" w:rsidP="007849C8">
            <w:pPr>
              <w:jc w:val="center"/>
            </w:pPr>
            <w:r>
              <w:t>1.5%</w:t>
            </w:r>
          </w:p>
        </w:tc>
        <w:tc>
          <w:tcPr>
            <w:tcW w:w="3117" w:type="dxa"/>
          </w:tcPr>
          <w:p w:rsidR="007849C8" w:rsidRDefault="007849C8" w:rsidP="007849C8">
            <w:pPr>
              <w:jc w:val="center"/>
            </w:pPr>
            <w:r>
              <w:t>1.75%</w:t>
            </w:r>
          </w:p>
        </w:tc>
      </w:tr>
      <w:tr w:rsidR="006A77AA" w:rsidTr="00747757">
        <w:tc>
          <w:tcPr>
            <w:tcW w:w="9350" w:type="dxa"/>
            <w:gridSpan w:val="3"/>
          </w:tcPr>
          <w:p w:rsidR="006A77AA" w:rsidRDefault="006A77AA" w:rsidP="006A77AA">
            <w:r w:rsidRPr="007849C8">
              <w:rPr>
                <w:b/>
              </w:rPr>
              <w:t>Money Changing Service</w:t>
            </w:r>
          </w:p>
        </w:tc>
      </w:tr>
      <w:tr w:rsidR="007849C8" w:rsidTr="007849C8">
        <w:tc>
          <w:tcPr>
            <w:tcW w:w="3116" w:type="dxa"/>
          </w:tcPr>
          <w:p w:rsidR="007849C8" w:rsidRDefault="007849C8" w:rsidP="00255DF1">
            <w:r>
              <w:t xml:space="preserve">Amount of currency exchanged up to </w:t>
            </w:r>
            <w:r w:rsidR="00255DF1">
              <w:rPr>
                <w:rFonts w:ascii="Rupee Foradian" w:hAnsi="Rupee Foradian"/>
              </w:rPr>
              <w:t>`</w:t>
            </w:r>
            <w:r>
              <w:t xml:space="preserve"> 0.1 million</w:t>
            </w:r>
          </w:p>
        </w:tc>
        <w:tc>
          <w:tcPr>
            <w:tcW w:w="3117" w:type="dxa"/>
          </w:tcPr>
          <w:p w:rsidR="007849C8" w:rsidRDefault="007849C8" w:rsidP="00255DF1">
            <w:pPr>
              <w:jc w:val="center"/>
            </w:pPr>
            <w:r>
              <w:t xml:space="preserve">0.12% subject to minimum of </w:t>
            </w:r>
            <w:r w:rsidR="00255DF1">
              <w:rPr>
                <w:rFonts w:ascii="Rupee Foradian" w:hAnsi="Rupee Foradian"/>
              </w:rPr>
              <w:t>`</w:t>
            </w:r>
            <w:r>
              <w:t>30</w:t>
            </w:r>
          </w:p>
        </w:tc>
        <w:tc>
          <w:tcPr>
            <w:tcW w:w="3117" w:type="dxa"/>
          </w:tcPr>
          <w:p w:rsidR="007849C8" w:rsidRDefault="007849C8" w:rsidP="00255DF1">
            <w:pPr>
              <w:jc w:val="center"/>
            </w:pPr>
            <w:r>
              <w:t>0.14</w:t>
            </w:r>
            <w:r>
              <w:t>% subject to</w:t>
            </w:r>
            <w:r>
              <w:t xml:space="preserve"> minimum of  </w:t>
            </w:r>
            <w:r w:rsidR="00255DF1">
              <w:rPr>
                <w:rFonts w:ascii="Rupee Foradian" w:hAnsi="Rupee Foradian"/>
              </w:rPr>
              <w:t>`</w:t>
            </w:r>
            <w:r>
              <w:t>35</w:t>
            </w:r>
          </w:p>
        </w:tc>
      </w:tr>
      <w:tr w:rsidR="007849C8" w:rsidTr="007849C8">
        <w:tc>
          <w:tcPr>
            <w:tcW w:w="3116" w:type="dxa"/>
          </w:tcPr>
          <w:p w:rsidR="007849C8" w:rsidRDefault="007849C8" w:rsidP="00255DF1">
            <w:r>
              <w:t xml:space="preserve">Amount of currency exchanged exceeding </w:t>
            </w:r>
            <w:r w:rsidR="00255DF1">
              <w:rPr>
                <w:rFonts w:ascii="Rupee Foradian" w:hAnsi="Rupee Foradian"/>
              </w:rPr>
              <w:t>`</w:t>
            </w:r>
            <w:r>
              <w:t xml:space="preserve">0.1 million up to </w:t>
            </w:r>
            <w:r w:rsidR="006A77AA">
              <w:t>INDIAN RUPEE SYMBOL.SVG</w:t>
            </w:r>
            <w:r>
              <w:t xml:space="preserve"> 1 million</w:t>
            </w:r>
          </w:p>
        </w:tc>
        <w:tc>
          <w:tcPr>
            <w:tcW w:w="3117" w:type="dxa"/>
          </w:tcPr>
          <w:p w:rsidR="007849C8" w:rsidRDefault="006A77AA" w:rsidP="00255DF1">
            <w:pPr>
              <w:jc w:val="center"/>
            </w:pPr>
            <w:r>
              <w:br/>
            </w:r>
            <w:r w:rsidR="00255DF1">
              <w:rPr>
                <w:rFonts w:ascii="Rupee Foradian" w:hAnsi="Rupee Foradian"/>
              </w:rPr>
              <w:t>`</w:t>
            </w:r>
            <w:r w:rsidR="007849C8">
              <w:t>120 and 0.06%</w:t>
            </w:r>
          </w:p>
        </w:tc>
        <w:tc>
          <w:tcPr>
            <w:tcW w:w="3117" w:type="dxa"/>
          </w:tcPr>
          <w:p w:rsidR="007849C8" w:rsidRDefault="006A77AA" w:rsidP="00255DF1">
            <w:pPr>
              <w:jc w:val="center"/>
            </w:pPr>
            <w:r>
              <w:br/>
            </w:r>
            <w:r w:rsidR="00255DF1">
              <w:rPr>
                <w:rFonts w:ascii="Rupee Foradian" w:hAnsi="Rupee Foradian"/>
              </w:rPr>
              <w:t>`</w:t>
            </w:r>
            <w:r>
              <w:t>140 and 0.07</w:t>
            </w:r>
            <w:r>
              <w:t>%</w:t>
            </w:r>
          </w:p>
        </w:tc>
      </w:tr>
      <w:tr w:rsidR="007849C8" w:rsidTr="007849C8">
        <w:tc>
          <w:tcPr>
            <w:tcW w:w="3116" w:type="dxa"/>
          </w:tcPr>
          <w:p w:rsidR="007849C8" w:rsidRDefault="007849C8" w:rsidP="00255DF1">
            <w:r>
              <w:t xml:space="preserve">Amount of currency exchanged exceeding </w:t>
            </w:r>
            <w:r w:rsidR="00255DF1">
              <w:rPr>
                <w:rFonts w:ascii="Rupee Foradian" w:hAnsi="Rupee Foradian"/>
              </w:rPr>
              <w:t>`</w:t>
            </w:r>
            <w:r>
              <w:t>1 million</w:t>
            </w:r>
          </w:p>
        </w:tc>
        <w:tc>
          <w:tcPr>
            <w:tcW w:w="3117" w:type="dxa"/>
          </w:tcPr>
          <w:p w:rsidR="007849C8" w:rsidRDefault="00255DF1" w:rsidP="00255DF1">
            <w:pPr>
              <w:jc w:val="center"/>
            </w:pPr>
            <w:r>
              <w:rPr>
                <w:rFonts w:ascii="Rupee Foradian" w:hAnsi="Rupee Foradian"/>
              </w:rPr>
              <w:t>`</w:t>
            </w:r>
            <w:r w:rsidR="006A77AA">
              <w:t xml:space="preserve">660 and 0.012% subject to maximum of </w:t>
            </w:r>
            <w:r>
              <w:rPr>
                <w:rFonts w:ascii="Rupee Foradian" w:hAnsi="Rupee Foradian"/>
              </w:rPr>
              <w:t>`</w:t>
            </w:r>
            <w:r w:rsidR="006A77AA">
              <w:t>6,000</w:t>
            </w:r>
          </w:p>
        </w:tc>
        <w:tc>
          <w:tcPr>
            <w:tcW w:w="3117" w:type="dxa"/>
          </w:tcPr>
          <w:p w:rsidR="007849C8" w:rsidRDefault="00255DF1" w:rsidP="00255DF1">
            <w:pPr>
              <w:jc w:val="center"/>
            </w:pPr>
            <w:r>
              <w:rPr>
                <w:rFonts w:ascii="Rupee Foradian" w:hAnsi="Rupee Foradian"/>
              </w:rPr>
              <w:t>`</w:t>
            </w:r>
            <w:r w:rsidR="006A77AA">
              <w:t>77</w:t>
            </w:r>
            <w:r w:rsidR="006A77AA">
              <w:t>0 and 0.</w:t>
            </w:r>
            <w:r w:rsidR="006A77AA">
              <w:t xml:space="preserve">014% subject to maximum of </w:t>
            </w:r>
            <w:r>
              <w:rPr>
                <w:rFonts w:ascii="Rupee Foradian" w:hAnsi="Rupee Foradian"/>
              </w:rPr>
              <w:t>`</w:t>
            </w:r>
            <w:r w:rsidR="006A77AA">
              <w:t>7</w:t>
            </w:r>
            <w:r w:rsidR="006A77AA">
              <w:t>,000</w:t>
            </w:r>
          </w:p>
        </w:tc>
      </w:tr>
      <w:tr w:rsidR="006A77AA" w:rsidTr="008D018E">
        <w:tc>
          <w:tcPr>
            <w:tcW w:w="9350" w:type="dxa"/>
            <w:gridSpan w:val="3"/>
          </w:tcPr>
          <w:p w:rsidR="006A77AA" w:rsidRDefault="006A77AA" w:rsidP="006A77AA">
            <w:r w:rsidRPr="007849C8">
              <w:rPr>
                <w:b/>
              </w:rPr>
              <w:t>Lottery</w:t>
            </w:r>
          </w:p>
        </w:tc>
      </w:tr>
      <w:tr w:rsidR="007849C8" w:rsidTr="007849C8">
        <w:tc>
          <w:tcPr>
            <w:tcW w:w="3116" w:type="dxa"/>
          </w:tcPr>
          <w:p w:rsidR="007849C8" w:rsidRDefault="007849C8" w:rsidP="007849C8">
            <w:r>
              <w:t>Where guaranteed prize payout is more than 80%</w:t>
            </w:r>
          </w:p>
        </w:tc>
        <w:tc>
          <w:tcPr>
            <w:tcW w:w="3117" w:type="dxa"/>
          </w:tcPr>
          <w:p w:rsidR="007849C8" w:rsidRDefault="00255DF1" w:rsidP="007849C8">
            <w:pPr>
              <w:jc w:val="center"/>
            </w:pPr>
            <w:r>
              <w:rPr>
                <w:rFonts w:ascii="Rupee Foradian" w:hAnsi="Rupee Foradian"/>
              </w:rPr>
              <w:t>`</w:t>
            </w:r>
            <w:r w:rsidR="006A77AA">
              <w:t>7,000</w:t>
            </w:r>
          </w:p>
        </w:tc>
        <w:tc>
          <w:tcPr>
            <w:tcW w:w="3117" w:type="dxa"/>
          </w:tcPr>
          <w:p w:rsidR="007849C8" w:rsidRDefault="00255DF1" w:rsidP="006A77AA">
            <w:pPr>
              <w:jc w:val="center"/>
            </w:pPr>
            <w:r>
              <w:rPr>
                <w:rFonts w:ascii="Rupee Foradian" w:hAnsi="Rupee Foradian"/>
              </w:rPr>
              <w:t>`</w:t>
            </w:r>
            <w:r w:rsidR="006A77AA">
              <w:t>8,200</w:t>
            </w:r>
          </w:p>
        </w:tc>
      </w:tr>
      <w:tr w:rsidR="007849C8" w:rsidTr="007849C8">
        <w:tc>
          <w:tcPr>
            <w:tcW w:w="3116" w:type="dxa"/>
          </w:tcPr>
          <w:p w:rsidR="007849C8" w:rsidRDefault="007849C8" w:rsidP="007849C8">
            <w:r>
              <w:t>Where guaranteed prize payout is less than 80%</w:t>
            </w:r>
          </w:p>
        </w:tc>
        <w:tc>
          <w:tcPr>
            <w:tcW w:w="3117" w:type="dxa"/>
          </w:tcPr>
          <w:p w:rsidR="007849C8" w:rsidRDefault="00255DF1" w:rsidP="007849C8">
            <w:pPr>
              <w:jc w:val="center"/>
            </w:pPr>
            <w:r>
              <w:rPr>
                <w:rFonts w:ascii="Rupee Foradian" w:hAnsi="Rupee Foradian"/>
              </w:rPr>
              <w:t>`</w:t>
            </w:r>
            <w:r w:rsidR="006A77AA">
              <w:t>11,000</w:t>
            </w:r>
          </w:p>
        </w:tc>
        <w:tc>
          <w:tcPr>
            <w:tcW w:w="3117" w:type="dxa"/>
          </w:tcPr>
          <w:p w:rsidR="007849C8" w:rsidRDefault="00255DF1" w:rsidP="007849C8">
            <w:pPr>
              <w:jc w:val="center"/>
            </w:pPr>
            <w:r>
              <w:rPr>
                <w:rFonts w:ascii="Rupee Foradian" w:hAnsi="Rupee Foradian"/>
              </w:rPr>
              <w:t>`</w:t>
            </w:r>
            <w:r w:rsidR="006A77AA">
              <w:t>12,800</w:t>
            </w:r>
          </w:p>
        </w:tc>
      </w:tr>
    </w:tbl>
    <w:p w:rsidR="007849C8" w:rsidRDefault="007849C8" w:rsidP="007849C8"/>
    <w:p w:rsidR="003B4EEB" w:rsidRDefault="003B4EEB" w:rsidP="006A77AA">
      <w:pPr>
        <w:rPr>
          <w:b/>
        </w:rPr>
      </w:pPr>
    </w:p>
    <w:p w:rsidR="003B4EEB" w:rsidRDefault="003B4EEB" w:rsidP="006A77AA">
      <w:pPr>
        <w:rPr>
          <w:b/>
        </w:rPr>
      </w:pPr>
    </w:p>
    <w:p w:rsidR="00255DF1" w:rsidRDefault="00255DF1" w:rsidP="006A77AA">
      <w:pPr>
        <w:rPr>
          <w:b/>
        </w:rPr>
      </w:pPr>
    </w:p>
    <w:p w:rsidR="00255DF1" w:rsidRDefault="00255DF1" w:rsidP="006A77AA">
      <w:pPr>
        <w:rPr>
          <w:b/>
        </w:rPr>
      </w:pPr>
    </w:p>
    <w:p w:rsidR="003B4EEB" w:rsidRPr="003B4EEB" w:rsidRDefault="006A77AA" w:rsidP="006A77AA">
      <w:pPr>
        <w:rPr>
          <w:rFonts w:ascii="Cambria Math" w:hAnsi="Cambria Math" w:cs="Cambria Math" w:hint="eastAsia"/>
          <w:b/>
          <w:lang w:eastAsia="ja-JP"/>
        </w:rPr>
      </w:pPr>
      <w:r w:rsidRPr="006A77AA">
        <w:rPr>
          <w:b/>
        </w:rPr>
        <w:t>ANALYSIS OF POINT OF TAXATION WHEN THERE IS CHANGE IN EFFECTIVE RATE OF TAX</w:t>
      </w:r>
    </w:p>
    <w:p w:rsidR="006A77AA" w:rsidRDefault="006A77AA" w:rsidP="006A77AA">
      <w:r w:rsidRPr="006A77AA">
        <w:t>Point of taxation involving change in effective rate of tax is governed by Rule 4 of the POT Rules, which provides for determination of Point of taxation w</w:t>
      </w:r>
      <w:r>
        <w:t xml:space="preserve">hen there is change in </w:t>
      </w:r>
      <w:r w:rsidR="003B4EEB">
        <w:t xml:space="preserve">effective rate of tax as </w:t>
      </w:r>
      <w:r w:rsidRPr="006A77AA">
        <w:t>mentioned in the table below: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2"/>
        <w:gridCol w:w="2393"/>
        <w:gridCol w:w="1555"/>
        <w:gridCol w:w="1555"/>
        <w:gridCol w:w="1557"/>
        <w:gridCol w:w="1558"/>
      </w:tblGrid>
      <w:tr w:rsidR="003B4EEB" w:rsidTr="003B4EEB">
        <w:tc>
          <w:tcPr>
            <w:tcW w:w="732" w:type="dxa"/>
            <w:shd w:val="clear" w:color="auto" w:fill="9CC2E5" w:themeFill="accent1" w:themeFillTint="99"/>
            <w:vAlign w:val="center"/>
          </w:tcPr>
          <w:p w:rsidR="003B4EEB" w:rsidRPr="003B4EEB" w:rsidRDefault="003B4EEB" w:rsidP="003B4EEB">
            <w:pPr>
              <w:jc w:val="center"/>
              <w:rPr>
                <w:b/>
              </w:rPr>
            </w:pPr>
            <w:r>
              <w:rPr>
                <w:b/>
              </w:rPr>
              <w:t>S.NO</w:t>
            </w:r>
            <w:r w:rsidRPr="003B4EEB">
              <w:rPr>
                <w:b/>
              </w:rPr>
              <w:t>.</w:t>
            </w:r>
          </w:p>
        </w:tc>
        <w:tc>
          <w:tcPr>
            <w:tcW w:w="2393" w:type="dxa"/>
            <w:shd w:val="clear" w:color="auto" w:fill="9CC2E5" w:themeFill="accent1" w:themeFillTint="99"/>
            <w:vAlign w:val="center"/>
          </w:tcPr>
          <w:p w:rsidR="003B4EEB" w:rsidRPr="003B4EEB" w:rsidRDefault="003B4EEB" w:rsidP="003B4EEB">
            <w:pPr>
              <w:jc w:val="center"/>
              <w:rPr>
                <w:b/>
              </w:rPr>
            </w:pPr>
            <w:r w:rsidRPr="003B4EEB">
              <w:rPr>
                <w:b/>
              </w:rPr>
              <w:t>IN CASE A TAXABLE SERVICE HAS BEEN PROVIDED</w:t>
            </w:r>
          </w:p>
        </w:tc>
        <w:tc>
          <w:tcPr>
            <w:tcW w:w="1555" w:type="dxa"/>
            <w:shd w:val="clear" w:color="auto" w:fill="9CC2E5" w:themeFill="accent1" w:themeFillTint="99"/>
            <w:vAlign w:val="center"/>
          </w:tcPr>
          <w:p w:rsidR="003B4EEB" w:rsidRPr="003B4EEB" w:rsidRDefault="003B4EEB" w:rsidP="003B4EEB">
            <w:pPr>
              <w:jc w:val="center"/>
              <w:rPr>
                <w:b/>
              </w:rPr>
            </w:pPr>
            <w:r w:rsidRPr="003B4EEB">
              <w:rPr>
                <w:b/>
              </w:rPr>
              <w:t>INVOICE HAS BEEN ISSUED</w:t>
            </w:r>
          </w:p>
        </w:tc>
        <w:tc>
          <w:tcPr>
            <w:tcW w:w="1555" w:type="dxa"/>
            <w:shd w:val="clear" w:color="auto" w:fill="9CC2E5" w:themeFill="accent1" w:themeFillTint="99"/>
            <w:vAlign w:val="center"/>
          </w:tcPr>
          <w:p w:rsidR="003B4EEB" w:rsidRPr="003B4EEB" w:rsidRDefault="003B4EEB" w:rsidP="003B4EEB">
            <w:pPr>
              <w:jc w:val="center"/>
              <w:rPr>
                <w:b/>
              </w:rPr>
            </w:pPr>
            <w:r w:rsidRPr="003B4EEB">
              <w:rPr>
                <w:b/>
              </w:rPr>
              <w:t>PAYMENT RECEIVED FOR THE INVOICE</w:t>
            </w:r>
          </w:p>
        </w:tc>
        <w:tc>
          <w:tcPr>
            <w:tcW w:w="1557" w:type="dxa"/>
            <w:shd w:val="clear" w:color="auto" w:fill="9CC2E5" w:themeFill="accent1" w:themeFillTint="99"/>
            <w:vAlign w:val="center"/>
          </w:tcPr>
          <w:p w:rsidR="003B4EEB" w:rsidRPr="003B4EEB" w:rsidRDefault="003B4EEB" w:rsidP="003B4EEB">
            <w:pPr>
              <w:jc w:val="center"/>
              <w:rPr>
                <w:b/>
              </w:rPr>
            </w:pPr>
            <w:r w:rsidRPr="003B4EEB">
              <w:rPr>
                <w:b/>
              </w:rPr>
              <w:t>POINT OF TAXATION SHALL BE</w:t>
            </w:r>
          </w:p>
        </w:tc>
        <w:tc>
          <w:tcPr>
            <w:tcW w:w="1558" w:type="dxa"/>
            <w:shd w:val="clear" w:color="auto" w:fill="9CC2E5" w:themeFill="accent1" w:themeFillTint="99"/>
            <w:vAlign w:val="center"/>
          </w:tcPr>
          <w:p w:rsidR="003B4EEB" w:rsidRPr="003B4EEB" w:rsidRDefault="003B4EEB" w:rsidP="003B4EEB">
            <w:pPr>
              <w:jc w:val="center"/>
              <w:rPr>
                <w:b/>
              </w:rPr>
            </w:pPr>
            <w:r w:rsidRPr="003B4EEB">
              <w:rPr>
                <w:b/>
              </w:rPr>
              <w:t>APPLICABLE RATE</w:t>
            </w:r>
          </w:p>
        </w:tc>
      </w:tr>
      <w:tr w:rsidR="003B4EEB" w:rsidTr="00255DF1">
        <w:tc>
          <w:tcPr>
            <w:tcW w:w="732" w:type="dxa"/>
            <w:vAlign w:val="center"/>
          </w:tcPr>
          <w:p w:rsidR="003B4EEB" w:rsidRDefault="003B4EEB" w:rsidP="00255DF1">
            <w:pPr>
              <w:jc w:val="center"/>
            </w:pPr>
            <w:r>
              <w:t>1.</w:t>
            </w:r>
          </w:p>
        </w:tc>
        <w:tc>
          <w:tcPr>
            <w:tcW w:w="2393" w:type="dxa"/>
            <w:vMerge w:val="restart"/>
            <w:vAlign w:val="center"/>
          </w:tcPr>
          <w:p w:rsidR="003B4EEB" w:rsidRDefault="003B4EEB" w:rsidP="003B4EEB">
            <w:pPr>
              <w:jc w:val="center"/>
            </w:pPr>
            <w:r>
              <w:t>BEFORE the change in effective rate of tax</w:t>
            </w:r>
          </w:p>
        </w:tc>
        <w:tc>
          <w:tcPr>
            <w:tcW w:w="1555" w:type="dxa"/>
            <w:vAlign w:val="center"/>
          </w:tcPr>
          <w:p w:rsidR="003B4EEB" w:rsidRDefault="003B4EEB" w:rsidP="003B4EEB">
            <w:pPr>
              <w:jc w:val="center"/>
            </w:pPr>
            <w:r>
              <w:t>AFTER the change in effective rate of tax</w:t>
            </w:r>
          </w:p>
        </w:tc>
        <w:tc>
          <w:tcPr>
            <w:tcW w:w="1555" w:type="dxa"/>
            <w:vAlign w:val="center"/>
          </w:tcPr>
          <w:p w:rsidR="003B4EEB" w:rsidRDefault="003B4EEB" w:rsidP="003B4EEB">
            <w:pPr>
              <w:jc w:val="center"/>
            </w:pPr>
            <w:r>
              <w:t>AFTER the change in effective rate of tax</w:t>
            </w:r>
          </w:p>
        </w:tc>
        <w:tc>
          <w:tcPr>
            <w:tcW w:w="1557" w:type="dxa"/>
            <w:vAlign w:val="center"/>
          </w:tcPr>
          <w:p w:rsidR="003B4EEB" w:rsidRDefault="003B4EEB" w:rsidP="003B4EEB">
            <w:pPr>
              <w:jc w:val="center"/>
            </w:pPr>
            <w:r>
              <w:t>Date of issuance of invoice or Date of receipt of payment, whichever is earlier</w:t>
            </w:r>
          </w:p>
        </w:tc>
        <w:tc>
          <w:tcPr>
            <w:tcW w:w="1558" w:type="dxa"/>
            <w:vAlign w:val="center"/>
          </w:tcPr>
          <w:p w:rsidR="003B4EEB" w:rsidRDefault="003B4EEB" w:rsidP="003B4EEB">
            <w:pPr>
              <w:jc w:val="center"/>
            </w:pPr>
            <w:r>
              <w:t>New Rate</w:t>
            </w:r>
          </w:p>
        </w:tc>
      </w:tr>
      <w:tr w:rsidR="003B4EEB" w:rsidTr="00255DF1">
        <w:tc>
          <w:tcPr>
            <w:tcW w:w="732" w:type="dxa"/>
            <w:vAlign w:val="center"/>
          </w:tcPr>
          <w:p w:rsidR="003B4EEB" w:rsidRDefault="003B4EEB" w:rsidP="00255DF1">
            <w:pPr>
              <w:jc w:val="center"/>
            </w:pPr>
            <w:r>
              <w:t>2.</w:t>
            </w:r>
          </w:p>
        </w:tc>
        <w:tc>
          <w:tcPr>
            <w:tcW w:w="2393" w:type="dxa"/>
            <w:vMerge/>
            <w:vAlign w:val="center"/>
          </w:tcPr>
          <w:p w:rsidR="003B4EEB" w:rsidRDefault="003B4EEB" w:rsidP="003B4EEB">
            <w:pPr>
              <w:jc w:val="center"/>
            </w:pPr>
          </w:p>
        </w:tc>
        <w:tc>
          <w:tcPr>
            <w:tcW w:w="1555" w:type="dxa"/>
            <w:vAlign w:val="center"/>
          </w:tcPr>
          <w:p w:rsidR="003B4EEB" w:rsidRDefault="003B4EEB" w:rsidP="003B4EEB">
            <w:pPr>
              <w:jc w:val="center"/>
            </w:pPr>
            <w:r>
              <w:t>BEFORE the change in effective rate of tax</w:t>
            </w:r>
          </w:p>
        </w:tc>
        <w:tc>
          <w:tcPr>
            <w:tcW w:w="1555" w:type="dxa"/>
            <w:vAlign w:val="center"/>
          </w:tcPr>
          <w:p w:rsidR="003B4EEB" w:rsidRDefault="003B4EEB" w:rsidP="003B4EEB">
            <w:pPr>
              <w:jc w:val="center"/>
            </w:pPr>
            <w:r>
              <w:t>AFTER the change in effective rate of tax</w:t>
            </w:r>
          </w:p>
        </w:tc>
        <w:tc>
          <w:tcPr>
            <w:tcW w:w="1557" w:type="dxa"/>
            <w:vAlign w:val="center"/>
          </w:tcPr>
          <w:p w:rsidR="003B4EEB" w:rsidRDefault="003B4EEB" w:rsidP="003B4EEB">
            <w:pPr>
              <w:jc w:val="center"/>
            </w:pPr>
            <w:r>
              <w:t>Date of issuance of invoice</w:t>
            </w:r>
          </w:p>
        </w:tc>
        <w:tc>
          <w:tcPr>
            <w:tcW w:w="1558" w:type="dxa"/>
            <w:vAlign w:val="center"/>
          </w:tcPr>
          <w:p w:rsidR="003B4EEB" w:rsidRDefault="003B4EEB" w:rsidP="003B4EEB">
            <w:pPr>
              <w:jc w:val="center"/>
            </w:pPr>
            <w:r>
              <w:t>Old Rate</w:t>
            </w:r>
          </w:p>
        </w:tc>
      </w:tr>
      <w:tr w:rsidR="003B4EEB" w:rsidTr="00255DF1">
        <w:tc>
          <w:tcPr>
            <w:tcW w:w="732" w:type="dxa"/>
            <w:vAlign w:val="center"/>
          </w:tcPr>
          <w:p w:rsidR="003B4EEB" w:rsidRDefault="003B4EEB" w:rsidP="00255DF1">
            <w:pPr>
              <w:jc w:val="center"/>
            </w:pPr>
            <w:r>
              <w:t>3.</w:t>
            </w:r>
          </w:p>
        </w:tc>
        <w:tc>
          <w:tcPr>
            <w:tcW w:w="2393" w:type="dxa"/>
            <w:vMerge/>
            <w:vAlign w:val="center"/>
          </w:tcPr>
          <w:p w:rsidR="003B4EEB" w:rsidRDefault="003B4EEB" w:rsidP="003B4EEB">
            <w:pPr>
              <w:jc w:val="center"/>
            </w:pPr>
          </w:p>
        </w:tc>
        <w:tc>
          <w:tcPr>
            <w:tcW w:w="1555" w:type="dxa"/>
            <w:vAlign w:val="center"/>
          </w:tcPr>
          <w:p w:rsidR="003B4EEB" w:rsidRDefault="003B4EEB" w:rsidP="003B4EEB">
            <w:pPr>
              <w:jc w:val="center"/>
            </w:pPr>
            <w:r>
              <w:t>AFTER the change in effective rate of tax</w:t>
            </w:r>
          </w:p>
        </w:tc>
        <w:tc>
          <w:tcPr>
            <w:tcW w:w="1555" w:type="dxa"/>
            <w:vAlign w:val="center"/>
          </w:tcPr>
          <w:p w:rsidR="003B4EEB" w:rsidRDefault="003B4EEB" w:rsidP="003B4EEB">
            <w:pPr>
              <w:jc w:val="center"/>
            </w:pPr>
            <w:r>
              <w:t>BEFORE the change in effective rate of tax</w:t>
            </w:r>
          </w:p>
        </w:tc>
        <w:tc>
          <w:tcPr>
            <w:tcW w:w="1557" w:type="dxa"/>
            <w:vAlign w:val="center"/>
          </w:tcPr>
          <w:p w:rsidR="003B4EEB" w:rsidRDefault="003B4EEB" w:rsidP="003B4EEB">
            <w:pPr>
              <w:jc w:val="center"/>
            </w:pPr>
            <w:r>
              <w:t>Date of receipt of payment</w:t>
            </w:r>
          </w:p>
        </w:tc>
        <w:tc>
          <w:tcPr>
            <w:tcW w:w="1558" w:type="dxa"/>
            <w:vAlign w:val="center"/>
          </w:tcPr>
          <w:p w:rsidR="003B4EEB" w:rsidRDefault="003B4EEB" w:rsidP="003B4EEB">
            <w:pPr>
              <w:jc w:val="center"/>
            </w:pPr>
            <w:r>
              <w:t>Old Rate</w:t>
            </w:r>
          </w:p>
        </w:tc>
      </w:tr>
      <w:tr w:rsidR="003B4EEB" w:rsidTr="00255DF1">
        <w:tc>
          <w:tcPr>
            <w:tcW w:w="732" w:type="dxa"/>
            <w:vAlign w:val="center"/>
          </w:tcPr>
          <w:p w:rsidR="003B4EEB" w:rsidRDefault="003B4EEB" w:rsidP="00255DF1">
            <w:pPr>
              <w:jc w:val="center"/>
            </w:pPr>
            <w:r>
              <w:t>4.</w:t>
            </w:r>
          </w:p>
        </w:tc>
        <w:tc>
          <w:tcPr>
            <w:tcW w:w="2393" w:type="dxa"/>
            <w:vMerge w:val="restart"/>
            <w:vAlign w:val="center"/>
          </w:tcPr>
          <w:p w:rsidR="003B4EEB" w:rsidRDefault="003B4EEB" w:rsidP="003B4EEB">
            <w:pPr>
              <w:jc w:val="center"/>
            </w:pPr>
            <w:r>
              <w:t>AFTER the change in effective rate of tax</w:t>
            </w:r>
          </w:p>
        </w:tc>
        <w:tc>
          <w:tcPr>
            <w:tcW w:w="1555" w:type="dxa"/>
            <w:vAlign w:val="center"/>
          </w:tcPr>
          <w:p w:rsidR="003B4EEB" w:rsidRDefault="003B4EEB" w:rsidP="003B4EEB">
            <w:pPr>
              <w:jc w:val="center"/>
            </w:pPr>
            <w:r>
              <w:t>BEFORE the change in effective rate of tax</w:t>
            </w:r>
          </w:p>
        </w:tc>
        <w:tc>
          <w:tcPr>
            <w:tcW w:w="1555" w:type="dxa"/>
            <w:vAlign w:val="center"/>
          </w:tcPr>
          <w:p w:rsidR="003B4EEB" w:rsidRDefault="003B4EEB" w:rsidP="003B4EEB">
            <w:pPr>
              <w:jc w:val="center"/>
            </w:pPr>
            <w:r>
              <w:t>AFTER the change in effective rate of tax</w:t>
            </w:r>
          </w:p>
        </w:tc>
        <w:tc>
          <w:tcPr>
            <w:tcW w:w="1557" w:type="dxa"/>
            <w:vAlign w:val="center"/>
          </w:tcPr>
          <w:p w:rsidR="003B4EEB" w:rsidRDefault="003B4EEB" w:rsidP="003B4EEB">
            <w:pPr>
              <w:jc w:val="center"/>
            </w:pPr>
            <w:r>
              <w:t>Date of receipt of payment</w:t>
            </w:r>
          </w:p>
        </w:tc>
        <w:tc>
          <w:tcPr>
            <w:tcW w:w="1558" w:type="dxa"/>
            <w:vAlign w:val="center"/>
          </w:tcPr>
          <w:p w:rsidR="003B4EEB" w:rsidRDefault="003B4EEB" w:rsidP="003B4EEB">
            <w:pPr>
              <w:jc w:val="center"/>
            </w:pPr>
            <w:r>
              <w:t>New Rate</w:t>
            </w:r>
          </w:p>
        </w:tc>
      </w:tr>
      <w:tr w:rsidR="003B4EEB" w:rsidTr="00255DF1">
        <w:tc>
          <w:tcPr>
            <w:tcW w:w="732" w:type="dxa"/>
            <w:vAlign w:val="center"/>
          </w:tcPr>
          <w:p w:rsidR="003B4EEB" w:rsidRDefault="003B4EEB" w:rsidP="00255DF1">
            <w:pPr>
              <w:jc w:val="center"/>
            </w:pPr>
            <w:r>
              <w:t>5.</w:t>
            </w:r>
          </w:p>
        </w:tc>
        <w:tc>
          <w:tcPr>
            <w:tcW w:w="2393" w:type="dxa"/>
            <w:vMerge/>
            <w:vAlign w:val="center"/>
          </w:tcPr>
          <w:p w:rsidR="003B4EEB" w:rsidRDefault="003B4EEB" w:rsidP="003B4EEB">
            <w:pPr>
              <w:jc w:val="center"/>
            </w:pPr>
          </w:p>
        </w:tc>
        <w:tc>
          <w:tcPr>
            <w:tcW w:w="1555" w:type="dxa"/>
            <w:vAlign w:val="center"/>
          </w:tcPr>
          <w:p w:rsidR="003B4EEB" w:rsidRDefault="003B4EEB" w:rsidP="003B4EEB">
            <w:pPr>
              <w:jc w:val="center"/>
            </w:pPr>
            <w:r>
              <w:t>BEFORE the change in effective rate of tax</w:t>
            </w:r>
          </w:p>
        </w:tc>
        <w:tc>
          <w:tcPr>
            <w:tcW w:w="1555" w:type="dxa"/>
            <w:vAlign w:val="center"/>
          </w:tcPr>
          <w:p w:rsidR="003B4EEB" w:rsidRDefault="003B4EEB" w:rsidP="003B4EEB">
            <w:pPr>
              <w:jc w:val="center"/>
            </w:pPr>
            <w:r>
              <w:t>BEFORE the change in effective rate of tax</w:t>
            </w:r>
          </w:p>
        </w:tc>
        <w:tc>
          <w:tcPr>
            <w:tcW w:w="1557" w:type="dxa"/>
            <w:vAlign w:val="center"/>
          </w:tcPr>
          <w:p w:rsidR="003B4EEB" w:rsidRDefault="003B4EEB" w:rsidP="003B4EEB">
            <w:pPr>
              <w:jc w:val="center"/>
            </w:pPr>
            <w:r>
              <w:t>Date of issuance of invoice or Date of receipt of payment, whichever is earlier</w:t>
            </w:r>
          </w:p>
        </w:tc>
        <w:tc>
          <w:tcPr>
            <w:tcW w:w="1558" w:type="dxa"/>
            <w:vAlign w:val="center"/>
          </w:tcPr>
          <w:p w:rsidR="003B4EEB" w:rsidRDefault="003B4EEB" w:rsidP="003B4EEB">
            <w:pPr>
              <w:jc w:val="center"/>
            </w:pPr>
            <w:r>
              <w:t>Old Rate</w:t>
            </w:r>
          </w:p>
        </w:tc>
      </w:tr>
      <w:tr w:rsidR="003B4EEB" w:rsidTr="00255DF1">
        <w:tc>
          <w:tcPr>
            <w:tcW w:w="732" w:type="dxa"/>
            <w:vAlign w:val="center"/>
          </w:tcPr>
          <w:p w:rsidR="003B4EEB" w:rsidRDefault="003B4EEB" w:rsidP="00255DF1">
            <w:pPr>
              <w:jc w:val="center"/>
            </w:pPr>
            <w:r>
              <w:t>6.</w:t>
            </w:r>
          </w:p>
        </w:tc>
        <w:tc>
          <w:tcPr>
            <w:tcW w:w="2393" w:type="dxa"/>
            <w:vMerge/>
            <w:vAlign w:val="center"/>
          </w:tcPr>
          <w:p w:rsidR="003B4EEB" w:rsidRDefault="003B4EEB" w:rsidP="003B4EEB">
            <w:pPr>
              <w:jc w:val="center"/>
            </w:pPr>
          </w:p>
        </w:tc>
        <w:tc>
          <w:tcPr>
            <w:tcW w:w="1555" w:type="dxa"/>
            <w:vAlign w:val="center"/>
          </w:tcPr>
          <w:p w:rsidR="003B4EEB" w:rsidRDefault="003B4EEB" w:rsidP="003B4EEB">
            <w:pPr>
              <w:jc w:val="center"/>
            </w:pPr>
            <w:r>
              <w:t>AFTER the change in effective rate of tax</w:t>
            </w:r>
          </w:p>
        </w:tc>
        <w:tc>
          <w:tcPr>
            <w:tcW w:w="1555" w:type="dxa"/>
            <w:vAlign w:val="center"/>
          </w:tcPr>
          <w:p w:rsidR="003B4EEB" w:rsidRDefault="003B4EEB" w:rsidP="003B4EEB">
            <w:pPr>
              <w:jc w:val="center"/>
            </w:pPr>
            <w:r>
              <w:t>BEFORE the change in effective rate of tax</w:t>
            </w:r>
          </w:p>
        </w:tc>
        <w:tc>
          <w:tcPr>
            <w:tcW w:w="1557" w:type="dxa"/>
            <w:vAlign w:val="center"/>
          </w:tcPr>
          <w:p w:rsidR="003B4EEB" w:rsidRDefault="003B4EEB" w:rsidP="003B4EEB">
            <w:pPr>
              <w:jc w:val="center"/>
            </w:pPr>
            <w:r>
              <w:t>Date of issuance of invoice</w:t>
            </w:r>
          </w:p>
        </w:tc>
        <w:tc>
          <w:tcPr>
            <w:tcW w:w="1558" w:type="dxa"/>
            <w:vAlign w:val="center"/>
          </w:tcPr>
          <w:p w:rsidR="003B4EEB" w:rsidRDefault="003B4EEB" w:rsidP="003B4EEB">
            <w:pPr>
              <w:jc w:val="center"/>
            </w:pPr>
            <w:r>
              <w:t>New Rate</w:t>
            </w:r>
          </w:p>
        </w:tc>
      </w:tr>
    </w:tbl>
    <w:p w:rsidR="003B4EEB" w:rsidRDefault="003B4EEB" w:rsidP="006A77AA"/>
    <w:p w:rsidR="00255DF1" w:rsidRDefault="00255DF1" w:rsidP="003B4EEB">
      <w:pPr>
        <w:rPr>
          <w:b/>
        </w:rPr>
      </w:pPr>
    </w:p>
    <w:p w:rsidR="00255DF1" w:rsidRDefault="00255DF1" w:rsidP="003B4EEB">
      <w:pPr>
        <w:rPr>
          <w:b/>
        </w:rPr>
      </w:pPr>
    </w:p>
    <w:p w:rsidR="00255DF1" w:rsidRDefault="00255DF1" w:rsidP="003B4EEB">
      <w:pPr>
        <w:rPr>
          <w:b/>
        </w:rPr>
      </w:pPr>
    </w:p>
    <w:p w:rsidR="003B4EEB" w:rsidRPr="003B4EEB" w:rsidRDefault="003B4EEB" w:rsidP="003B4EEB">
      <w:pPr>
        <w:rPr>
          <w:b/>
        </w:rPr>
      </w:pPr>
      <w:r w:rsidRPr="003B4EEB">
        <w:rPr>
          <w:b/>
        </w:rPr>
        <w:lastRenderedPageBreak/>
        <w:t>SWACHH BHARAT CESS</w:t>
      </w:r>
    </w:p>
    <w:p w:rsidR="00255DF1" w:rsidRDefault="003B4EEB" w:rsidP="003B4EEB">
      <w:proofErr w:type="spellStart"/>
      <w:r>
        <w:t>Swachh</w:t>
      </w:r>
      <w:proofErr w:type="spellEnd"/>
      <w:r>
        <w:t xml:space="preserve"> Bharat </w:t>
      </w:r>
      <w:proofErr w:type="spellStart"/>
      <w:r>
        <w:t>Cess</w:t>
      </w:r>
      <w:proofErr w:type="spellEnd"/>
      <w:r>
        <w:t xml:space="preserve"> is not notified till date, it will be notified separately at a later date. Only an enabling provision is being incorporated in th</w:t>
      </w:r>
      <w:r>
        <w:t xml:space="preserve">e Finance Bill, 2015 to empower </w:t>
      </w:r>
      <w:r>
        <w:t xml:space="preserve">the Central Government to impose a </w:t>
      </w:r>
      <w:proofErr w:type="spellStart"/>
      <w:r>
        <w:t>Swachh</w:t>
      </w:r>
      <w:proofErr w:type="spellEnd"/>
      <w:r>
        <w:t xml:space="preserve"> Bharat </w:t>
      </w:r>
      <w:proofErr w:type="spellStart"/>
      <w:r>
        <w:t>Cess</w:t>
      </w:r>
      <w:proofErr w:type="spellEnd"/>
      <w:r>
        <w:t xml:space="preserve"> on all or any of the taxable services at a rate of 2% on the value of such taxable services. The </w:t>
      </w:r>
      <w:proofErr w:type="spellStart"/>
      <w:r>
        <w:t>cess</w:t>
      </w:r>
      <w:proofErr w:type="spellEnd"/>
      <w:r>
        <w:t xml:space="preserve"> shall be le</w:t>
      </w:r>
      <w:r>
        <w:t xml:space="preserve">vied from </w:t>
      </w:r>
      <w:r>
        <w:t>the date to be notified after the enactment of the Finance Bill 2015.</w:t>
      </w:r>
      <w:r w:rsidR="00255DF1">
        <w:t xml:space="preserve"> </w:t>
      </w:r>
    </w:p>
    <w:p w:rsidR="003B4EEB" w:rsidRDefault="003B4EEB" w:rsidP="003B4EEB">
      <w:r>
        <w:t>Hence, an illustrative clarification to this effect is much warranted from the Board before the new rate of Service becoming effective from June 1, 2015.</w:t>
      </w:r>
    </w:p>
    <w:p w:rsidR="00255DF1" w:rsidRDefault="00255DF1" w:rsidP="003B4EEB">
      <w:pPr>
        <w:rPr>
          <w:b/>
        </w:rPr>
      </w:pPr>
    </w:p>
    <w:p w:rsidR="003B4EEB" w:rsidRPr="003B4EEB" w:rsidRDefault="003B4EEB" w:rsidP="003B4EEB">
      <w:pPr>
        <w:rPr>
          <w:b/>
        </w:rPr>
      </w:pPr>
      <w:r w:rsidRPr="003B4EEB">
        <w:rPr>
          <w:b/>
        </w:rPr>
        <w:t>BALANCE OF EDUCATION CESS AND SECONDARY AND HIGHER EDUCATION CESS AS ON 01</w:t>
      </w:r>
      <w:r w:rsidR="00255DF1">
        <w:rPr>
          <w:b/>
        </w:rPr>
        <w:t>.</w:t>
      </w:r>
      <w:r w:rsidRPr="003B4EEB">
        <w:rPr>
          <w:b/>
        </w:rPr>
        <w:t>06</w:t>
      </w:r>
      <w:r w:rsidR="00255DF1">
        <w:rPr>
          <w:b/>
        </w:rPr>
        <w:t>.</w:t>
      </w:r>
      <w:r w:rsidRPr="003B4EEB">
        <w:rPr>
          <w:b/>
        </w:rPr>
        <w:t>2015</w:t>
      </w:r>
    </w:p>
    <w:p w:rsidR="003B4EEB" w:rsidRDefault="003B4EEB" w:rsidP="003B4EEB">
      <w:r>
        <w:t xml:space="preserve">The question arises what will happen to the balance lying in ‘Education </w:t>
      </w:r>
      <w:proofErr w:type="spellStart"/>
      <w:r>
        <w:t>Cess</w:t>
      </w:r>
      <w:proofErr w:type="spellEnd"/>
      <w:r>
        <w:t xml:space="preserve">’ and ‘Secondary and Higher Education </w:t>
      </w:r>
      <w:proofErr w:type="spellStart"/>
      <w:r>
        <w:t>Cess</w:t>
      </w:r>
      <w:proofErr w:type="spellEnd"/>
      <w:r>
        <w:t>’ as on June 1, 2015. Will it</w:t>
      </w:r>
      <w:r>
        <w:t xml:space="preserve"> be allowed to be adjusted with </w:t>
      </w:r>
      <w:r>
        <w:t xml:space="preserve">Service tax liability as this is being denied in terms of Rule 3(7)(b) of the </w:t>
      </w:r>
      <w:proofErr w:type="spellStart"/>
      <w:r>
        <w:t>Cenvat</w:t>
      </w:r>
      <w:proofErr w:type="spellEnd"/>
      <w:r>
        <w:t xml:space="preserve"> Credit Rules, 2004 (“the Credit Rules”).</w:t>
      </w:r>
    </w:p>
    <w:p w:rsidR="003B4EEB" w:rsidRDefault="003B4EEB" w:rsidP="003B4EEB">
      <w:r>
        <w:t xml:space="preserve">The same issue arose in Excise when the rate of duty was changed from 12.36% to 12.50% subsuming the Education </w:t>
      </w:r>
      <w:proofErr w:type="spellStart"/>
      <w:r>
        <w:t>Cess</w:t>
      </w:r>
      <w:proofErr w:type="spellEnd"/>
      <w:r>
        <w:t xml:space="preserve"> and Secondary and Higher Education </w:t>
      </w:r>
      <w:proofErr w:type="spellStart"/>
      <w:r>
        <w:t>cess</w:t>
      </w:r>
      <w:proofErr w:type="spellEnd"/>
      <w:r>
        <w:t xml:space="preserve"> on 01</w:t>
      </w:r>
      <w:r w:rsidR="00255DF1">
        <w:t>.</w:t>
      </w:r>
      <w:r>
        <w:t>03</w:t>
      </w:r>
      <w:r w:rsidR="00255DF1">
        <w:t>.</w:t>
      </w:r>
      <w:r>
        <w:t>2015.</w:t>
      </w:r>
    </w:p>
    <w:p w:rsidR="003B4EEB" w:rsidRDefault="003B4EEB" w:rsidP="003B4EEB">
      <w:r>
        <w:t xml:space="preserve">Recently, the CBEC has issued a </w:t>
      </w:r>
      <w:r>
        <w:t>Notification No. 12/2015Central Excise (N.T.) dated 30</w:t>
      </w:r>
      <w:r w:rsidR="00255DF1">
        <w:t>.</w:t>
      </w:r>
      <w:r>
        <w:t>04</w:t>
      </w:r>
      <w:r w:rsidR="00255DF1">
        <w:t>.</w:t>
      </w:r>
      <w:r>
        <w:t xml:space="preserve">2015 </w:t>
      </w:r>
      <w:r>
        <w:t>in this regard in case of Central Excise.</w:t>
      </w:r>
    </w:p>
    <w:p w:rsidR="003B4EEB" w:rsidRDefault="003B4EEB" w:rsidP="003B4EEB">
      <w:r>
        <w:t xml:space="preserve">It is thus expected CBEC should come with a </w:t>
      </w:r>
      <w:proofErr w:type="spellStart"/>
      <w:r>
        <w:t>clarificatory</w:t>
      </w:r>
      <w:proofErr w:type="spellEnd"/>
      <w:r>
        <w:t xml:space="preserve"> circular on the above mentioned issue in case of Service Tax also.</w:t>
      </w:r>
      <w:bookmarkStart w:id="0" w:name="_GoBack"/>
      <w:bookmarkEnd w:id="0"/>
    </w:p>
    <w:p w:rsidR="003B4EEB" w:rsidRPr="00255DF1" w:rsidRDefault="00255DF1" w:rsidP="003B4EEB">
      <w:pPr>
        <w:rPr>
          <w:i/>
          <w:sz w:val="18"/>
          <w:szCs w:val="16"/>
        </w:rPr>
      </w:pPr>
      <w:r w:rsidRPr="00255DF1">
        <w:rPr>
          <w:i/>
          <w:sz w:val="18"/>
          <w:szCs w:val="16"/>
        </w:rPr>
        <w:t>Source: CA Club India</w:t>
      </w:r>
    </w:p>
    <w:sectPr w:rsidR="003B4EEB" w:rsidRPr="00255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B7C2C"/>
    <w:multiLevelType w:val="hybridMultilevel"/>
    <w:tmpl w:val="16AE96E0"/>
    <w:lvl w:ilvl="0" w:tplc="8CE24366"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9C8"/>
    <w:rsid w:val="00255DF1"/>
    <w:rsid w:val="00356F1E"/>
    <w:rsid w:val="003B4EEB"/>
    <w:rsid w:val="00402F16"/>
    <w:rsid w:val="006A77AA"/>
    <w:rsid w:val="0078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747278-340E-4104-8169-2E51D7FF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4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4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Meena Narayanan</dc:creator>
  <cp:keywords/>
  <dc:description/>
  <cp:lastModifiedBy>Narayanan Krishnan</cp:lastModifiedBy>
  <cp:revision>1</cp:revision>
  <dcterms:created xsi:type="dcterms:W3CDTF">2015-05-24T13:54:00Z</dcterms:created>
  <dcterms:modified xsi:type="dcterms:W3CDTF">2015-05-24T14:36:00Z</dcterms:modified>
</cp:coreProperties>
</file>